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1"/>
        <w:gridCol w:w="5812"/>
      </w:tblGrid>
      <w:tr w:rsidR="00E94F13" w:rsidRPr="00A57694" w:rsidTr="00326329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E94F13" w:rsidRPr="00A57694" w:rsidRDefault="00E94F13" w:rsidP="00E94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9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cefamandole</w:t>
            </w: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94F13" w:rsidRPr="00A57694" w:rsidRDefault="00E94F13" w:rsidP="0032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7694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POSOLOGIE ET MODE D'ADMINISTRATION</w:t>
            </w: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Rcp_4_2_PosoAdmin_1"/>
      <w:bookmarkEnd w:id="0"/>
      <w:r w:rsidRPr="00A57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Posologie</w:t>
      </w:r>
      <w:r w:rsidRPr="00A57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694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</w:t>
      </w:r>
      <w:r w:rsidRPr="00A57694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</w:t>
      </w:r>
      <w:r w:rsidRPr="00A57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fr-FR"/>
        </w:rPr>
        <w:t>Chez l'adulte</w:t>
      </w:r>
      <w:r w:rsidRPr="00A57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o</w:t>
      </w:r>
      <w:proofErr w:type="gramEnd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Traitement curatif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: la posologie usuelle est de 3 g/jour, répartis sur les 24 heures en 3 ou 4 injections (une toutes les 8 ou 6 heures).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o</w:t>
      </w:r>
      <w:proofErr w:type="gramEnd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 xml:space="preserve">Prophylaxie des infections </w:t>
      </w:r>
      <w:proofErr w:type="spellStart"/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post-opératoires</w:t>
      </w:r>
      <w:proofErr w:type="spellEnd"/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 xml:space="preserve"> en chirurgie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l'</w:t>
      </w:r>
      <w:proofErr w:type="spellStart"/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antibioprophylaxie</w:t>
      </w:r>
      <w:proofErr w:type="spellEnd"/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doit être de courte durée, le plus souvent limitée à la période per-opératoire, 24 heures parfois, mais jamais plus de 48 heures.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694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</w:t>
      </w:r>
      <w:r w:rsidRPr="00A57694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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injection </w:t>
      </w:r>
      <w:proofErr w:type="spellStart"/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intra-veineuse</w:t>
      </w:r>
      <w:proofErr w:type="spellEnd"/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1,5 g à l'induction anesthésique,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694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</w:t>
      </w:r>
      <w:r w:rsidRPr="00A57694"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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puis réinjection de 750 mg IV toutes les 2 heures jusqu'à la fin de l'intervention.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la chirurgie cardiaque et orthopédique, des réinjections de 750 mg toutes les 6-8 heures peuvent être effectuées pendant 24 heures, sans dépasser 48 heures.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Dans la chirurgie cardiaque avec circulation </w:t>
      </w:r>
      <w:proofErr w:type="spellStart"/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extra-corporelle</w:t>
      </w:r>
      <w:proofErr w:type="spellEnd"/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(CEC), une injection supplémentaire de 1,5 g doit être effectuée après branchement de la CEC.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Pour les résections </w:t>
      </w:r>
      <w:proofErr w:type="spellStart"/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transuréthrales</w:t>
      </w:r>
      <w:proofErr w:type="spellEnd"/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prostate et les biopsies de prostate, une seule dose suffit.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694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</w:t>
      </w:r>
      <w:r w:rsidRPr="00A57694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</w:t>
      </w:r>
      <w:r w:rsidRPr="00A57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fr-FR"/>
        </w:rPr>
        <w:t>Chez l'enfant</w:t>
      </w:r>
      <w:r w:rsidRPr="00A57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En moyenne 50 mg/kg par 24 heures répartis en doses égales administrées toutes les 4 à 8 heures.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Insuffisants rénaux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 cas d'insuffisance rénale, la posologie est adaptée en fonction de la </w:t>
      </w:r>
      <w:proofErr w:type="spellStart"/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créatininémie</w:t>
      </w:r>
      <w:proofErr w:type="spellEnd"/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 de la clairance de la créatinine. Après administration d'une dose initiale de 750 mg à 1500 mg, les doses d'entretien seront adaptées selon le schéma suivant: </w:t>
      </w:r>
    </w:p>
    <w:tbl>
      <w:tblPr>
        <w:tblW w:w="0" w:type="auto"/>
        <w:tblCellSpacing w:w="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2298"/>
        <w:gridCol w:w="2248"/>
        <w:gridCol w:w="2330"/>
        <w:gridCol w:w="2306"/>
      </w:tblGrid>
      <w:tr w:rsidR="00E94F13" w:rsidRPr="00A57694" w:rsidTr="00326329">
        <w:trPr>
          <w:tblCellSpacing w:w="0" w:type="dxa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7694" w:rsidRPr="00A57694" w:rsidRDefault="00E94F13" w:rsidP="0032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Créatinine sérique 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F13" w:rsidRPr="00A57694" w:rsidRDefault="00E94F13" w:rsidP="0032632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7694" w:rsidRPr="00A57694" w:rsidRDefault="00E94F13" w:rsidP="0032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Clairance de la créatinine ml/min/1,73 m</w:t>
            </w: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2</w:t>
            </w: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7694" w:rsidRPr="00A57694" w:rsidRDefault="00E94F13" w:rsidP="0032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Doses maximales </w:t>
            </w:r>
          </w:p>
        </w:tc>
      </w:tr>
      <w:tr w:rsidR="00E94F13" w:rsidRPr="00A57694" w:rsidTr="00326329">
        <w:trPr>
          <w:tblCellSpacing w:w="0" w:type="dxa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7694" w:rsidRPr="00A57694" w:rsidRDefault="00E94F13" w:rsidP="0032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mg/l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7694" w:rsidRPr="00A57694" w:rsidRDefault="00E94F13" w:rsidP="0032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mmol</w:t>
            </w:r>
            <w:proofErr w:type="spellEnd"/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/l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F13" w:rsidRPr="00A57694" w:rsidRDefault="00E94F13" w:rsidP="0032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F13" w:rsidRPr="00A57694" w:rsidRDefault="00E94F13" w:rsidP="0032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94F13" w:rsidRPr="00A57694" w:rsidTr="00326329">
        <w:trPr>
          <w:tblCellSpacing w:w="0" w:type="dxa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7694" w:rsidRPr="00A57694" w:rsidRDefault="00E94F13" w:rsidP="00326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14-16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7694" w:rsidRPr="00A57694" w:rsidRDefault="00E94F13" w:rsidP="00326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0,12 -0,14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7694" w:rsidRPr="00A57694" w:rsidRDefault="00E94F13" w:rsidP="00326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80 à 50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7694" w:rsidRPr="00A57694" w:rsidRDefault="00E94F13" w:rsidP="00326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1,5 g toutes les 4 h </w:t>
            </w:r>
          </w:p>
        </w:tc>
      </w:tr>
      <w:tr w:rsidR="00E94F13" w:rsidRPr="00A57694" w:rsidTr="00326329">
        <w:trPr>
          <w:tblCellSpacing w:w="0" w:type="dxa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7694" w:rsidRPr="00A57694" w:rsidRDefault="00E94F13" w:rsidP="00326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16-28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7694" w:rsidRPr="00A57694" w:rsidRDefault="00E94F13" w:rsidP="00326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0,14-0,25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7694" w:rsidRPr="00A57694" w:rsidRDefault="00E94F13" w:rsidP="00326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 à 25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7694" w:rsidRPr="00A57694" w:rsidRDefault="00E94F13" w:rsidP="00326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1,5 g toutes les 6 h </w:t>
            </w:r>
          </w:p>
        </w:tc>
      </w:tr>
      <w:tr w:rsidR="00E94F13" w:rsidRPr="00A57694" w:rsidTr="00326329">
        <w:trPr>
          <w:tblCellSpacing w:w="0" w:type="dxa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7694" w:rsidRPr="00A57694" w:rsidRDefault="00E94F13" w:rsidP="00326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28 - 53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7694" w:rsidRPr="00A57694" w:rsidRDefault="00E94F13" w:rsidP="00326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0,25 - 0,47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7694" w:rsidRPr="00A57694" w:rsidRDefault="00E94F13" w:rsidP="00326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25 à 10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7694" w:rsidRPr="00A57694" w:rsidRDefault="00E94F13" w:rsidP="00326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750 mg toutes les 6 h</w:t>
            </w: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ou</w:t>
            </w: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1,5 g toutes les 8 h </w:t>
            </w:r>
          </w:p>
        </w:tc>
      </w:tr>
      <w:tr w:rsidR="00E94F13" w:rsidRPr="00A57694" w:rsidTr="00326329">
        <w:trPr>
          <w:tblCellSpacing w:w="0" w:type="dxa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7694" w:rsidRPr="00A57694" w:rsidRDefault="00E94F13" w:rsidP="00326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53 - 100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7694" w:rsidRPr="00A57694" w:rsidRDefault="00E94F13" w:rsidP="00326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0,47 - 0,88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7694" w:rsidRPr="00A57694" w:rsidRDefault="00E94F13" w:rsidP="00326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10 à 2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7694" w:rsidRPr="00A57694" w:rsidRDefault="00E94F13" w:rsidP="00326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750 mg toutes les 8 h </w:t>
            </w:r>
          </w:p>
        </w:tc>
      </w:tr>
      <w:tr w:rsidR="00E94F13" w:rsidRPr="00A57694" w:rsidTr="00326329">
        <w:trPr>
          <w:tblCellSpacing w:w="0" w:type="dxa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7694" w:rsidRPr="00A57694" w:rsidRDefault="00E94F13" w:rsidP="00326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&gt; 100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7694" w:rsidRPr="00A57694" w:rsidRDefault="00E94F13" w:rsidP="00326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&gt; 0,88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7694" w:rsidRPr="00A57694" w:rsidRDefault="00E94F13" w:rsidP="00326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&lt; 2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7694" w:rsidRPr="00A57694" w:rsidRDefault="00E94F13" w:rsidP="00326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750 mg toutes les 12 h </w:t>
            </w:r>
          </w:p>
        </w:tc>
      </w:tr>
    </w:tbl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Mode d'administration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CEFAMANDOLE  peut être administré par injection intraveineuse ou administration intramusculaire profonde. </w:t>
      </w:r>
    </w:p>
    <w:p w:rsidR="00E94F13" w:rsidRPr="00A57694" w:rsidRDefault="00E94F13" w:rsidP="00E94F1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Administration intramusculaire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: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694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</w:t>
      </w:r>
      <w:r w:rsidRPr="00A57694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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dissoudre le contenu du flacon de 750 mg dans 3 ml de l'un des solvants suivants: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o</w:t>
      </w:r>
      <w:proofErr w:type="gramEnd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eau stérile pour préparations injectables,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o</w:t>
      </w:r>
      <w:proofErr w:type="gramEnd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solution injectable isotonique salée ou glucosée,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o</w:t>
      </w:r>
      <w:proofErr w:type="gramEnd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solution de </w:t>
      </w:r>
      <w:proofErr w:type="spellStart"/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lidocaïne</w:t>
      </w:r>
      <w:proofErr w:type="spellEnd"/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0,5 %.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Agiter jusqu'à dissolution. </w:t>
      </w:r>
    </w:p>
    <w:p w:rsidR="00E94F13" w:rsidRPr="00A57694" w:rsidRDefault="00E94F13" w:rsidP="00E94F1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Administration intraveineuse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: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694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</w:t>
      </w:r>
      <w:r w:rsidRPr="00A57694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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injection directe lente: dissoudre le contenu du flacon de 750 mg dans 10 ml d'eau stérile pour préparations injectables, de solution injectable isotonique salée ou glucosée et injecter lentement, en trois à cinq minutes, soit directement dans la veine, soit dans la tubulure d'une perfusion, si le malade reçoit déjà des liquides par cette voie;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694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</w:t>
      </w:r>
      <w:r w:rsidRPr="00A57694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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perfusion: continue ou discontinue. Après mise en solution (10 ml d'eau pour préparations injectables pour un flacon de 750 mg), ajouter la solution au volume à perfuser.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Compatibilités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94F13" w:rsidRPr="00A57694" w:rsidRDefault="00E94F13" w:rsidP="00E94F1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</w:t>
      </w:r>
      <w:proofErr w:type="spellStart"/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céfamandole</w:t>
      </w:r>
      <w:proofErr w:type="spellEnd"/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compatible avec les liquides pour injection parentérale suivants: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694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</w:t>
      </w:r>
      <w:r w:rsidRPr="00A57694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</w:t>
      </w:r>
      <w:r w:rsidRPr="00A57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fr-FR"/>
        </w:rPr>
        <w:t>Administration intramusculaire</w:t>
      </w:r>
      <w:r w:rsidRPr="00A57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: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o</w:t>
      </w:r>
      <w:proofErr w:type="gramEnd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solution injectable isotonique de chlorure de sodium,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o</w:t>
      </w:r>
      <w:proofErr w:type="gramEnd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eau stérile pour préparations injectables.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694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</w:t>
      </w:r>
      <w:r w:rsidRPr="00A57694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</w:t>
      </w:r>
      <w:r w:rsidRPr="00A57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fr-FR"/>
        </w:rPr>
        <w:t>Administration intraveineuse</w:t>
      </w:r>
      <w:r w:rsidRPr="00A57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: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o</w:t>
      </w:r>
      <w:proofErr w:type="gramEnd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solution injectable isotonique glucosé,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o</w:t>
      </w:r>
      <w:proofErr w:type="gramEnd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solution injectable isotonique de glucose à 10 %,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o</w:t>
      </w:r>
      <w:proofErr w:type="gramEnd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mélange de solution injectable isotonique glucosé et de soluté injectable isotonique de chlorure de sodium,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o</w:t>
      </w:r>
      <w:proofErr w:type="gramEnd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mélange de solution injectable isotonique glucosé et de soluté injectable isotonique de chlorure de sodium à 0,45 %,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o</w:t>
      </w:r>
      <w:proofErr w:type="gramEnd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mélange de solution injectable isotonique glucosé et de soluté injectable isotonique de chlorure de sodium à 0,2 %,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lastRenderedPageBreak/>
        <w:t>o</w:t>
      </w:r>
      <w:proofErr w:type="gramEnd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soluté injectable isotonique de chlorure de sodium, </w:t>
      </w:r>
    </w:p>
    <w:p w:rsidR="00E94F13" w:rsidRPr="00A57694" w:rsidRDefault="00E94F13" w:rsidP="00E94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o</w:t>
      </w:r>
      <w:proofErr w:type="gramEnd"/>
      <w:r w:rsidRPr="00A57694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</w:t>
      </w:r>
      <w:r w:rsidRPr="00A57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lactate de sodium 1/6 M. 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94F13"/>
    <w:rsid w:val="00011BE9"/>
    <w:rsid w:val="00017B31"/>
    <w:rsid w:val="0006330F"/>
    <w:rsid w:val="0009769E"/>
    <w:rsid w:val="000C4178"/>
    <w:rsid w:val="00120A2B"/>
    <w:rsid w:val="001931B1"/>
    <w:rsid w:val="001A53D5"/>
    <w:rsid w:val="001B3E26"/>
    <w:rsid w:val="00282113"/>
    <w:rsid w:val="002D0F57"/>
    <w:rsid w:val="003164DC"/>
    <w:rsid w:val="0034030B"/>
    <w:rsid w:val="00370323"/>
    <w:rsid w:val="004276C2"/>
    <w:rsid w:val="004771A7"/>
    <w:rsid w:val="00521B28"/>
    <w:rsid w:val="005630AF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41542"/>
    <w:rsid w:val="008D2D19"/>
    <w:rsid w:val="008F30B2"/>
    <w:rsid w:val="00911C5C"/>
    <w:rsid w:val="00945368"/>
    <w:rsid w:val="009D77C6"/>
    <w:rsid w:val="00A85F40"/>
    <w:rsid w:val="00A93A8E"/>
    <w:rsid w:val="00AB3D3B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20E84"/>
    <w:rsid w:val="00D914B1"/>
    <w:rsid w:val="00DB398C"/>
    <w:rsid w:val="00DE34F8"/>
    <w:rsid w:val="00DF229A"/>
    <w:rsid w:val="00E651C1"/>
    <w:rsid w:val="00E94F13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2013-11-07T15:48:00Z</dcterms:created>
  <dcterms:modified xsi:type="dcterms:W3CDTF">2013-11-07T15:49:00Z</dcterms:modified>
</cp:coreProperties>
</file>